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  <w:t>2018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年湖南省直机关博士选调生选拔学科目录</w:t>
      </w:r>
    </w:p>
    <w:tbl>
      <w:tblPr>
        <w:tblStyle w:val="6"/>
        <w:tblW w:w="8880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宪法学与行政法学、刑法学、民商法学、诉讼法学、环境与资源保护法学、经济法学、国际法学、知识产权法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产业经济学、区域经济学、国际贸易学、人口资源与环境经济学、财政学、金融学、经济与金融、金融工程、税务、审计、数量经济学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工商管理类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会计学、企业管理、技术经济与管理、工商管理、信息管理与信息系统、管理科学与工程、资产评估、财务管理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行政管理、公共事业管理、教育经济与管理、社会保障、土地资源管理、城市管理、人力资源管理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社会学、民族学、社会工作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地矿类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矿产普查与勘探、地质工程、采矿工程、地球探测与信息技术、矿物加工工程、安全技术及工程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文物与博物馆学、考古学及博物馆学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新闻学、传播学、新闻与传播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水利工程类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水文学及水资源、水利水电工程、水力学及河流动力学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土建类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城市规划与设计（风景园林规划与设计）、城市规划（城乡规划）、市政工程、土木工程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环境科学与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环境科学、环境工程、环境生态工程、资源环境科学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计算机科学与技术类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计算机应用技术、计算机软件及技术、计算机科学与技术、物联网工程、信息安全、网络工程、软件工程、智能科学与技术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通信与信息系统、电子信息科学与技术、电信工程及管理、信息工程、通信工程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食品与生物类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食品科学、粮食油脂及植物蛋白工程、农产品加工及贮藏工程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土壤学、植物营养学、植物物理学、农业昆虫与害虫防治、动物遗传育种与繁殖、作物栽培学与耕作学、作物遗传育种、农业（农学）、农业资源与环境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中共党史、马克思主义基本原理、马克思主义发展史、马克思主义中国化研究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控制科学与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控制理论与控制工程、检测技术与自动化装置、系统工程、模式识别与智能系统、导航制导与控制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公共卫生与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预防医学类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公共卫生与预防医学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Times New Roman" w:hAnsi="Times New Roman" w:cs="Times New Roman"/>
        </w:rPr>
      </w:pPr>
    </w:p>
    <w:p>
      <w:pPr>
        <w:widowControl/>
        <w:spacing w:line="600" w:lineRule="exact"/>
        <w:jc w:val="left"/>
        <w:rPr>
          <w:rFonts w:ascii="仿宋_GB2312" w:hAnsi="仿宋" w:eastAsia="仿宋_GB2312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53D90"/>
    <w:rsid w:val="19553D90"/>
    <w:rsid w:val="2F7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2017-12-13T09:20:00Z</dcterms:created>
  <dc:creator>不拖</dc:creator>
  <cp:lastModifiedBy>不拖</cp:lastModifiedBy>
  <cp:lastPrinted>2017-12-13T09:26:39Z</cp:lastPrinted>
  <dcterms:modified xsi:type="dcterms:W3CDTF">2017-12-13T09:29:42Z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